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ABA4" w14:textId="4304296E" w:rsidR="0098520B" w:rsidRDefault="0098520B" w:rsidP="0098520B">
      <w:pPr>
        <w:spacing w:after="0"/>
      </w:pPr>
    </w:p>
    <w:p w14:paraId="28623459" w14:textId="7700C302" w:rsidR="21C71742" w:rsidRPr="00B3690F" w:rsidRDefault="001756B4" w:rsidP="00B3690F">
      <w:pPr>
        <w:pStyle w:val="Title"/>
      </w:pPr>
      <w:r>
        <w:t>Porter’s Five Forces</w:t>
      </w:r>
    </w:p>
    <w:p w14:paraId="61D51620" w14:textId="77777777" w:rsidR="001756B4" w:rsidRDefault="001756B4" w:rsidP="001756B4">
      <w:pPr>
        <w:pStyle w:val="paragraph"/>
        <w:spacing w:before="0" w:beforeAutospacing="0" w:after="0" w:afterAutospacing="0"/>
        <w:textAlignment w:val="baseline"/>
        <w:rPr>
          <w:rStyle w:val="normaltextrun"/>
          <w:rFonts w:ascii="Arial" w:eastAsiaTheme="majorEastAsia" w:hAnsi="Arial" w:cs="Arial"/>
          <w:b/>
          <w:bCs/>
          <w:color w:val="000000"/>
          <w:sz w:val="20"/>
          <w:szCs w:val="20"/>
          <w:shd w:val="clear" w:color="auto" w:fill="FFFFFF"/>
        </w:rPr>
      </w:pPr>
    </w:p>
    <w:p w14:paraId="37FD0149" w14:textId="52905C6B" w:rsidR="001756B4" w:rsidRDefault="001756B4" w:rsidP="001756B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shd w:val="clear" w:color="auto" w:fill="FFFFFF"/>
        </w:rPr>
        <w:t>Complete </w:t>
      </w:r>
      <w:r>
        <w:rPr>
          <w:rStyle w:val="normaltextrun"/>
          <w:rFonts w:ascii="Arial" w:eastAsiaTheme="majorEastAsia" w:hAnsi="Arial" w:cs="Arial"/>
          <w:color w:val="000000"/>
          <w:sz w:val="20"/>
          <w:szCs w:val="20"/>
          <w:shd w:val="clear" w:color="auto" w:fill="FFFFFF"/>
        </w:rPr>
        <w:t>the table below</w:t>
      </w:r>
      <w:r w:rsidR="00174ED5">
        <w:rPr>
          <w:rStyle w:val="normaltextrun"/>
          <w:rFonts w:ascii="Arial" w:eastAsiaTheme="majorEastAsia" w:hAnsi="Arial" w:cs="Arial"/>
          <w:b/>
          <w:bCs/>
          <w:color w:val="000000"/>
          <w:sz w:val="20"/>
          <w:szCs w:val="20"/>
          <w:shd w:val="clear" w:color="auto" w:fill="FFFFFF"/>
        </w:rPr>
        <w:t>.</w:t>
      </w:r>
      <w:r>
        <w:rPr>
          <w:rStyle w:val="normaltextrun"/>
          <w:rFonts w:ascii="Arial" w:eastAsiaTheme="majorEastAsia" w:hAnsi="Arial" w:cs="Arial"/>
          <w:b/>
          <w:bCs/>
          <w:color w:val="000000"/>
          <w:sz w:val="20"/>
          <w:szCs w:val="20"/>
          <w:shd w:val="clear" w:color="auto" w:fill="FFFFFF"/>
        </w:rPr>
        <w:t> </w:t>
      </w:r>
      <w:r>
        <w:rPr>
          <w:rStyle w:val="normaltextrun"/>
          <w:rFonts w:ascii="Arial" w:eastAsiaTheme="majorEastAsia" w:hAnsi="Arial" w:cs="Arial"/>
          <w:color w:val="000000"/>
          <w:sz w:val="20"/>
          <w:szCs w:val="20"/>
          <w:shd w:val="clear" w:color="auto" w:fill="FFFFFF"/>
        </w:rPr>
        <w:t xml:space="preserve">For the company </w:t>
      </w:r>
      <w:r w:rsidR="00050D2C">
        <w:rPr>
          <w:rStyle w:val="normaltextrun"/>
          <w:rFonts w:ascii="Arial" w:eastAsiaTheme="majorEastAsia" w:hAnsi="Arial" w:cs="Arial"/>
          <w:color w:val="000000"/>
          <w:sz w:val="20"/>
          <w:szCs w:val="20"/>
          <w:shd w:val="clear" w:color="auto" w:fill="FFFFFF"/>
        </w:rPr>
        <w:t xml:space="preserve">you’ve decided to assess </w:t>
      </w:r>
      <w:r>
        <w:rPr>
          <w:rStyle w:val="normaltextrun"/>
          <w:rFonts w:ascii="Arial" w:eastAsiaTheme="majorEastAsia" w:hAnsi="Arial" w:cs="Arial"/>
          <w:color w:val="000000"/>
          <w:sz w:val="20"/>
          <w:szCs w:val="20"/>
          <w:shd w:val="clear" w:color="auto" w:fill="FFFFFF"/>
        </w:rPr>
        <w:t xml:space="preserve">in week 1, determine the strength of each of Porter’s Five Forces and of </w:t>
      </w:r>
      <w:r w:rsidR="004751F3">
        <w:rPr>
          <w:rStyle w:val="normaltextrun"/>
          <w:rFonts w:ascii="Arial" w:eastAsiaTheme="majorEastAsia" w:hAnsi="Arial" w:cs="Arial"/>
          <w:color w:val="000000"/>
          <w:sz w:val="20"/>
          <w:szCs w:val="20"/>
          <w:shd w:val="clear" w:color="auto" w:fill="FFFFFF"/>
        </w:rPr>
        <w:t xml:space="preserve">the </w:t>
      </w:r>
      <w:r>
        <w:rPr>
          <w:rStyle w:val="normaltextrun"/>
          <w:rFonts w:ascii="Arial" w:eastAsiaTheme="majorEastAsia" w:hAnsi="Arial" w:cs="Arial"/>
          <w:color w:val="000000"/>
          <w:sz w:val="20"/>
          <w:szCs w:val="20"/>
          <w:shd w:val="clear" w:color="auto" w:fill="FFFFFF"/>
        </w:rPr>
        <w:t>complementors.</w:t>
      </w:r>
      <w:r>
        <w:rPr>
          <w:rStyle w:val="eop"/>
          <w:rFonts w:ascii="Arial" w:hAnsi="Arial" w:cs="Arial"/>
          <w:sz w:val="20"/>
          <w:szCs w:val="20"/>
        </w:rPr>
        <w:t> </w:t>
      </w:r>
    </w:p>
    <w:p w14:paraId="00272497" w14:textId="77777777" w:rsidR="001756B4" w:rsidRDefault="001756B4" w:rsidP="001756B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8B36AE0" w14:textId="77777777" w:rsidR="001756B4" w:rsidRDefault="001756B4" w:rsidP="001756B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shd w:val="clear" w:color="auto" w:fill="FFFFFF"/>
        </w:rPr>
        <w:t>Justify</w:t>
      </w:r>
      <w:r>
        <w:rPr>
          <w:rStyle w:val="normaltextrun"/>
          <w:rFonts w:ascii="Arial" w:eastAsiaTheme="majorEastAsia" w:hAnsi="Arial" w:cs="Arial"/>
          <w:color w:val="000000"/>
          <w:sz w:val="20"/>
          <w:szCs w:val="20"/>
          <w:shd w:val="clear" w:color="auto" w:fill="FFFFFF"/>
        </w:rPr>
        <w:t> your determination with examples.</w:t>
      </w:r>
      <w:r>
        <w:rPr>
          <w:rStyle w:val="eop"/>
          <w:rFonts w:ascii="Arial" w:hAnsi="Arial" w:cs="Arial"/>
          <w:sz w:val="20"/>
          <w:szCs w:val="20"/>
        </w:rPr>
        <w:t> </w:t>
      </w:r>
    </w:p>
    <w:p w14:paraId="1A915080" w14:textId="10D78DED" w:rsidR="73BAE4F4" w:rsidRPr="00B3690F" w:rsidRDefault="73BAE4F4" w:rsidP="001756B4"/>
    <w:tbl>
      <w:tblPr>
        <w:tblStyle w:val="TableGrid"/>
        <w:tblW w:w="0" w:type="auto"/>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Layout w:type="fixed"/>
        <w:tblCellMar>
          <w:top w:w="86" w:type="dxa"/>
          <w:left w:w="115" w:type="dxa"/>
          <w:bottom w:w="86" w:type="dxa"/>
          <w:right w:w="115" w:type="dxa"/>
        </w:tblCellMar>
        <w:tblLook w:val="0620" w:firstRow="1" w:lastRow="0" w:firstColumn="0" w:lastColumn="0" w:noHBand="1" w:noVBand="1"/>
        <w:tblDescription w:val="Porter's Five Forces table"/>
      </w:tblPr>
      <w:tblGrid>
        <w:gridCol w:w="2781"/>
        <w:gridCol w:w="730"/>
        <w:gridCol w:w="1074"/>
        <w:gridCol w:w="720"/>
        <w:gridCol w:w="4045"/>
      </w:tblGrid>
      <w:tr w:rsidR="001756B4" w:rsidRPr="00776416" w14:paraId="11522830" w14:textId="77777777" w:rsidTr="6E36BA7D">
        <w:trPr>
          <w:tblHeader/>
        </w:trPr>
        <w:tc>
          <w:tcPr>
            <w:tcW w:w="2781" w:type="dxa"/>
            <w:vMerge w:val="restart"/>
            <w:tcBorders>
              <w:right w:val="single" w:sz="4" w:space="0" w:color="auto"/>
            </w:tcBorders>
            <w:shd w:val="clear" w:color="auto" w:fill="EDEDED" w:themeFill="accent5"/>
            <w:vAlign w:val="center"/>
          </w:tcPr>
          <w:p w14:paraId="4FAED3C7" w14:textId="2BB09F9B" w:rsidR="001756B4" w:rsidRPr="00776416" w:rsidRDefault="001756B4" w:rsidP="002901D9">
            <w:pPr>
              <w:spacing w:after="0"/>
              <w:jc w:val="center"/>
            </w:pPr>
            <w:r>
              <w:rPr>
                <w:rStyle w:val="normaltextrun"/>
                <w:rFonts w:cs="Arial"/>
                <w:b/>
                <w:bCs/>
                <w:color w:val="000000"/>
                <w:szCs w:val="20"/>
              </w:rPr>
              <w:t>Industry force</w:t>
            </w:r>
            <w:r>
              <w:rPr>
                <w:rStyle w:val="eop"/>
                <w:rFonts w:cs="Arial"/>
                <w:color w:val="000000"/>
                <w:szCs w:val="20"/>
              </w:rPr>
              <w:t> </w:t>
            </w:r>
          </w:p>
        </w:tc>
        <w:tc>
          <w:tcPr>
            <w:tcW w:w="2524" w:type="dxa"/>
            <w:gridSpan w:val="3"/>
            <w:tcBorders>
              <w:top w:val="single" w:sz="4" w:space="0" w:color="auto"/>
              <w:left w:val="single" w:sz="4" w:space="0" w:color="auto"/>
              <w:bottom w:val="single" w:sz="4" w:space="0" w:color="auto"/>
            </w:tcBorders>
            <w:shd w:val="clear" w:color="auto" w:fill="EDEDED" w:themeFill="accent5"/>
          </w:tcPr>
          <w:p w14:paraId="5FFF5BAF" w14:textId="5236EE33" w:rsidR="001756B4" w:rsidRPr="00776416" w:rsidRDefault="001756B4" w:rsidP="002901D9">
            <w:pPr>
              <w:spacing w:after="0"/>
              <w:jc w:val="center"/>
            </w:pPr>
            <w:r>
              <w:rPr>
                <w:rStyle w:val="normaltextrun"/>
                <w:rFonts w:cs="Arial"/>
                <w:b/>
                <w:bCs/>
                <w:color w:val="000000"/>
                <w:szCs w:val="20"/>
                <w:bdr w:val="none" w:sz="0" w:space="0" w:color="auto" w:frame="1"/>
              </w:rPr>
              <w:t>Strength</w:t>
            </w:r>
          </w:p>
        </w:tc>
        <w:tc>
          <w:tcPr>
            <w:tcW w:w="4045" w:type="dxa"/>
            <w:vMerge w:val="restart"/>
            <w:shd w:val="clear" w:color="auto" w:fill="EDEDED" w:themeFill="accent5"/>
            <w:vAlign w:val="center"/>
          </w:tcPr>
          <w:p w14:paraId="626D2C87" w14:textId="1F33E617" w:rsidR="001756B4" w:rsidRPr="00776416" w:rsidRDefault="6E36BA7D" w:rsidP="002901D9">
            <w:pPr>
              <w:spacing w:after="0"/>
              <w:jc w:val="center"/>
            </w:pPr>
            <w:bookmarkStart w:id="0" w:name="TableColumn04"/>
            <w:r w:rsidRPr="6E36BA7D">
              <w:rPr>
                <w:rStyle w:val="normaltextrun"/>
                <w:rFonts w:cs="Arial"/>
                <w:b/>
                <w:bCs/>
                <w:color w:val="000000"/>
              </w:rPr>
              <w:t xml:space="preserve">Provide a </w:t>
            </w:r>
            <w:r w:rsidR="0014401A">
              <w:rPr>
                <w:rStyle w:val="normaltextrun"/>
                <w:rFonts w:cs="Arial"/>
                <w:b/>
                <w:bCs/>
                <w:color w:val="000000"/>
              </w:rPr>
              <w:t xml:space="preserve">sentence </w:t>
            </w:r>
            <w:r w:rsidRPr="6E36BA7D">
              <w:rPr>
                <w:rStyle w:val="normaltextrun"/>
                <w:rFonts w:cs="Arial"/>
                <w:b/>
                <w:bCs/>
                <w:color w:val="000000"/>
              </w:rPr>
              <w:t>justifying your determination with examples</w:t>
            </w:r>
            <w:bookmarkEnd w:id="0"/>
            <w:r w:rsidR="0014401A">
              <w:rPr>
                <w:rStyle w:val="normaltextrun"/>
                <w:rFonts w:cs="Arial"/>
                <w:b/>
                <w:bCs/>
                <w:color w:val="000000"/>
              </w:rPr>
              <w:t>.</w:t>
            </w:r>
          </w:p>
        </w:tc>
      </w:tr>
      <w:tr w:rsidR="001756B4" w:rsidRPr="00776416" w14:paraId="7A95B600" w14:textId="77777777" w:rsidTr="6E36BA7D">
        <w:tc>
          <w:tcPr>
            <w:tcW w:w="2781" w:type="dxa"/>
            <w:vMerge/>
          </w:tcPr>
          <w:p w14:paraId="17DC778E" w14:textId="3BFEDC4C" w:rsidR="001756B4" w:rsidRPr="00C12D77" w:rsidRDefault="001756B4" w:rsidP="001756B4">
            <w:pPr>
              <w:pStyle w:val="TableText"/>
              <w:rPr>
                <w:rFonts w:cs="Arial"/>
              </w:rPr>
            </w:pPr>
          </w:p>
        </w:tc>
        <w:tc>
          <w:tcPr>
            <w:tcW w:w="730" w:type="dxa"/>
            <w:tcBorders>
              <w:top w:val="single" w:sz="4" w:space="0" w:color="auto"/>
              <w:left w:val="single" w:sz="4" w:space="0" w:color="auto"/>
              <w:bottom w:val="single" w:sz="4" w:space="0" w:color="auto"/>
              <w:right w:val="single" w:sz="4" w:space="0" w:color="auto"/>
            </w:tcBorders>
          </w:tcPr>
          <w:p w14:paraId="71A4A864" w14:textId="782AE6EA" w:rsidR="001756B4" w:rsidRPr="00776416" w:rsidRDefault="001756B4" w:rsidP="001756B4">
            <w:pPr>
              <w:spacing w:after="0"/>
              <w:rPr>
                <w:rFonts w:cs="Arial"/>
              </w:rPr>
            </w:pPr>
            <w:r>
              <w:rPr>
                <w:rStyle w:val="normaltextrun"/>
                <w:rFonts w:cs="Arial"/>
                <w:b/>
                <w:bCs/>
                <w:szCs w:val="20"/>
              </w:rPr>
              <w:t>High</w:t>
            </w:r>
            <w:r>
              <w:rPr>
                <w:rStyle w:val="eop"/>
                <w:rFonts w:cs="Arial"/>
                <w:szCs w:val="20"/>
              </w:rPr>
              <w:t> </w:t>
            </w:r>
          </w:p>
        </w:tc>
        <w:tc>
          <w:tcPr>
            <w:tcW w:w="1074" w:type="dxa"/>
            <w:tcBorders>
              <w:top w:val="single" w:sz="6" w:space="0" w:color="000000"/>
              <w:left w:val="single" w:sz="4" w:space="0" w:color="auto"/>
              <w:bottom w:val="single" w:sz="6" w:space="0" w:color="000000"/>
              <w:right w:val="single" w:sz="6" w:space="0" w:color="000000"/>
            </w:tcBorders>
            <w:shd w:val="clear" w:color="auto" w:fill="auto"/>
          </w:tcPr>
          <w:p w14:paraId="7FE34C50" w14:textId="20E99DB7" w:rsidR="001756B4" w:rsidRPr="00776416" w:rsidRDefault="001756B4" w:rsidP="001756B4">
            <w:pPr>
              <w:spacing w:after="0"/>
              <w:rPr>
                <w:rFonts w:cs="Arial"/>
              </w:rPr>
            </w:pPr>
            <w:r>
              <w:rPr>
                <w:rStyle w:val="normaltextrun"/>
                <w:rFonts w:cs="Arial"/>
                <w:b/>
                <w:bCs/>
                <w:szCs w:val="20"/>
              </w:rPr>
              <w:t>Medium</w:t>
            </w:r>
            <w:r>
              <w:rPr>
                <w:rStyle w:val="eop"/>
                <w:rFonts w:cs="Arial"/>
                <w:szCs w:val="20"/>
              </w:rPr>
              <w:t> </w:t>
            </w:r>
          </w:p>
        </w:tc>
        <w:tc>
          <w:tcPr>
            <w:tcW w:w="720" w:type="dxa"/>
            <w:tcBorders>
              <w:top w:val="single" w:sz="6" w:space="0" w:color="000000"/>
              <w:left w:val="nil"/>
              <w:bottom w:val="single" w:sz="6" w:space="0" w:color="000000"/>
              <w:right w:val="single" w:sz="6" w:space="0" w:color="000000"/>
            </w:tcBorders>
            <w:shd w:val="clear" w:color="auto" w:fill="auto"/>
          </w:tcPr>
          <w:p w14:paraId="4DF38F13" w14:textId="3D542EF3" w:rsidR="001756B4" w:rsidRPr="00776416" w:rsidRDefault="001756B4" w:rsidP="001756B4">
            <w:pPr>
              <w:spacing w:after="0"/>
              <w:rPr>
                <w:rFonts w:cs="Arial"/>
              </w:rPr>
            </w:pPr>
            <w:r>
              <w:rPr>
                <w:rStyle w:val="normaltextrun"/>
                <w:rFonts w:cs="Arial"/>
                <w:b/>
                <w:bCs/>
                <w:szCs w:val="20"/>
              </w:rPr>
              <w:t>Low</w:t>
            </w:r>
            <w:r>
              <w:rPr>
                <w:rStyle w:val="eop"/>
                <w:rFonts w:cs="Arial"/>
                <w:szCs w:val="20"/>
              </w:rPr>
              <w:t> </w:t>
            </w:r>
          </w:p>
        </w:tc>
        <w:tc>
          <w:tcPr>
            <w:tcW w:w="4045" w:type="dxa"/>
            <w:vMerge/>
            <w:vAlign w:val="center"/>
          </w:tcPr>
          <w:p w14:paraId="13C4A90B" w14:textId="77777777" w:rsidR="001756B4" w:rsidRPr="00776416" w:rsidRDefault="001756B4" w:rsidP="001756B4">
            <w:pPr>
              <w:spacing w:after="0"/>
            </w:pPr>
          </w:p>
        </w:tc>
      </w:tr>
      <w:tr w:rsidR="001756B4" w:rsidRPr="00776416" w14:paraId="0F44EEE1" w14:textId="77777777" w:rsidTr="6E36BA7D">
        <w:tc>
          <w:tcPr>
            <w:tcW w:w="2781" w:type="dxa"/>
            <w:tcBorders>
              <w:top w:val="nil"/>
              <w:left w:val="single" w:sz="6" w:space="0" w:color="000000"/>
              <w:bottom w:val="single" w:sz="6" w:space="0" w:color="000000"/>
              <w:right w:val="single" w:sz="4" w:space="0" w:color="auto"/>
            </w:tcBorders>
            <w:shd w:val="clear" w:color="auto" w:fill="auto"/>
          </w:tcPr>
          <w:p w14:paraId="5C74283E" w14:textId="3B561C7D" w:rsidR="001756B4" w:rsidRPr="001756B4" w:rsidRDefault="001756B4" w:rsidP="001756B4">
            <w:pPr>
              <w:spacing w:after="0"/>
              <w:rPr>
                <w:rFonts w:cs="Arial"/>
                <w:b/>
                <w:bCs/>
              </w:rPr>
            </w:pPr>
            <w:r w:rsidRPr="001756B4">
              <w:rPr>
                <w:rStyle w:val="normaltextrun"/>
                <w:rFonts w:cs="Arial"/>
                <w:b/>
                <w:bCs/>
                <w:i/>
                <w:iCs/>
                <w:color w:val="000000"/>
                <w:szCs w:val="20"/>
                <w:bdr w:val="none" w:sz="0" w:space="0" w:color="auto" w:frame="1"/>
              </w:rPr>
              <w:t>Example</w:t>
            </w:r>
          </w:p>
        </w:tc>
        <w:tc>
          <w:tcPr>
            <w:tcW w:w="730" w:type="dxa"/>
            <w:tcBorders>
              <w:top w:val="single" w:sz="4" w:space="0" w:color="auto"/>
              <w:left w:val="single" w:sz="4" w:space="0" w:color="auto"/>
              <w:bottom w:val="single" w:sz="4" w:space="0" w:color="auto"/>
              <w:right w:val="single" w:sz="4" w:space="0" w:color="auto"/>
            </w:tcBorders>
          </w:tcPr>
          <w:p w14:paraId="3DCA29BD" w14:textId="77777777" w:rsidR="001756B4" w:rsidRPr="00776416" w:rsidRDefault="001756B4" w:rsidP="001756B4">
            <w:pPr>
              <w:spacing w:after="0"/>
              <w:jc w:val="center"/>
              <w:rPr>
                <w:rFonts w:cs="Arial"/>
              </w:rPr>
            </w:pPr>
          </w:p>
        </w:tc>
        <w:tc>
          <w:tcPr>
            <w:tcW w:w="1074" w:type="dxa"/>
            <w:tcBorders>
              <w:top w:val="nil"/>
              <w:left w:val="single" w:sz="4" w:space="0" w:color="auto"/>
              <w:bottom w:val="single" w:sz="6" w:space="0" w:color="000000"/>
              <w:right w:val="single" w:sz="6" w:space="0" w:color="000000"/>
            </w:tcBorders>
            <w:shd w:val="clear" w:color="auto" w:fill="auto"/>
          </w:tcPr>
          <w:p w14:paraId="6F38B14E" w14:textId="22E389D8" w:rsidR="001756B4" w:rsidRPr="001756B4" w:rsidRDefault="001756B4" w:rsidP="001756B4">
            <w:pPr>
              <w:spacing w:after="0"/>
              <w:jc w:val="center"/>
              <w:rPr>
                <w:rFonts w:cs="Arial"/>
                <w:b/>
                <w:bCs/>
              </w:rPr>
            </w:pPr>
            <w:r w:rsidRPr="001756B4">
              <w:rPr>
                <w:rFonts w:cs="Arial"/>
                <w:b/>
                <w:bCs/>
              </w:rPr>
              <w:t>x</w:t>
            </w:r>
          </w:p>
        </w:tc>
        <w:tc>
          <w:tcPr>
            <w:tcW w:w="720" w:type="dxa"/>
            <w:tcBorders>
              <w:top w:val="nil"/>
              <w:left w:val="nil"/>
              <w:bottom w:val="single" w:sz="6" w:space="0" w:color="000000"/>
              <w:right w:val="single" w:sz="6" w:space="0" w:color="000000"/>
            </w:tcBorders>
            <w:shd w:val="clear" w:color="auto" w:fill="auto"/>
          </w:tcPr>
          <w:p w14:paraId="6CF6F4EB" w14:textId="263AE37A" w:rsidR="001756B4" w:rsidRPr="00776416" w:rsidRDefault="001756B4" w:rsidP="001756B4">
            <w:pPr>
              <w:spacing w:after="0"/>
              <w:jc w:val="center"/>
              <w:rPr>
                <w:rFonts w:cs="Arial"/>
              </w:rPr>
            </w:pPr>
          </w:p>
        </w:tc>
        <w:tc>
          <w:tcPr>
            <w:tcW w:w="4045" w:type="dxa"/>
            <w:vAlign w:val="center"/>
          </w:tcPr>
          <w:p w14:paraId="591ED7AD" w14:textId="4C310D49" w:rsidR="001756B4" w:rsidRPr="001756B4" w:rsidRDefault="001756B4" w:rsidP="001756B4">
            <w:pPr>
              <w:spacing w:after="0"/>
              <w:rPr>
                <w:i/>
                <w:iCs/>
              </w:rPr>
            </w:pPr>
            <w:r w:rsidRPr="001756B4">
              <w:rPr>
                <w:i/>
                <w:iCs/>
              </w:rPr>
              <w:t>This is why I believe it is medium.</w:t>
            </w:r>
          </w:p>
        </w:tc>
      </w:tr>
      <w:tr w:rsidR="001756B4" w:rsidRPr="00776416" w14:paraId="71CC248C" w14:textId="77777777" w:rsidTr="6E36BA7D">
        <w:tc>
          <w:tcPr>
            <w:tcW w:w="2781" w:type="dxa"/>
            <w:tcBorders>
              <w:top w:val="nil"/>
              <w:left w:val="single" w:sz="6" w:space="0" w:color="000000"/>
              <w:bottom w:val="single" w:sz="4" w:space="0" w:color="auto"/>
              <w:right w:val="single" w:sz="4" w:space="0" w:color="auto"/>
            </w:tcBorders>
            <w:shd w:val="clear" w:color="auto" w:fill="auto"/>
          </w:tcPr>
          <w:p w14:paraId="628CD7D9" w14:textId="6EE64E91" w:rsidR="001756B4" w:rsidRPr="00776416" w:rsidRDefault="001756B4" w:rsidP="001756B4">
            <w:pPr>
              <w:spacing w:after="0"/>
              <w:rPr>
                <w:rFonts w:cs="Arial"/>
              </w:rPr>
            </w:pPr>
            <w:r>
              <w:rPr>
                <w:rStyle w:val="normaltextrun"/>
                <w:rFonts w:cs="Arial"/>
                <w:szCs w:val="20"/>
              </w:rPr>
              <w:t>Threat of new entrants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7270B817" w14:textId="7CFDC4E7" w:rsidR="001756B4" w:rsidRPr="00776416" w:rsidRDefault="00070642" w:rsidP="001756B4">
            <w:pPr>
              <w:spacing w:after="0"/>
              <w:jc w:val="center"/>
              <w:rPr>
                <w:rFonts w:cs="Arial"/>
              </w:rPr>
            </w:pPr>
            <w:r>
              <w:rPr>
                <w:rFonts w:cs="Arial"/>
              </w:rPr>
              <w:t>x</w:t>
            </w:r>
          </w:p>
        </w:tc>
        <w:tc>
          <w:tcPr>
            <w:tcW w:w="1074" w:type="dxa"/>
            <w:tcBorders>
              <w:top w:val="nil"/>
              <w:left w:val="single" w:sz="4" w:space="0" w:color="auto"/>
              <w:bottom w:val="single" w:sz="4" w:space="0" w:color="auto"/>
              <w:right w:val="single" w:sz="6" w:space="0" w:color="000000"/>
            </w:tcBorders>
            <w:shd w:val="clear" w:color="auto" w:fill="auto"/>
          </w:tcPr>
          <w:p w14:paraId="50417CD1" w14:textId="0FB01DB7" w:rsidR="001756B4" w:rsidRPr="00776416" w:rsidRDefault="001756B4" w:rsidP="001756B4">
            <w:pPr>
              <w:spacing w:after="0"/>
              <w:jc w:val="center"/>
              <w:rPr>
                <w:rFonts w:cs="Arial"/>
              </w:rPr>
            </w:pPr>
          </w:p>
        </w:tc>
        <w:tc>
          <w:tcPr>
            <w:tcW w:w="720" w:type="dxa"/>
            <w:tcBorders>
              <w:top w:val="nil"/>
              <w:left w:val="nil"/>
              <w:bottom w:val="single" w:sz="4" w:space="0" w:color="auto"/>
              <w:right w:val="single" w:sz="6" w:space="0" w:color="000000"/>
            </w:tcBorders>
            <w:shd w:val="clear" w:color="auto" w:fill="auto"/>
          </w:tcPr>
          <w:p w14:paraId="7B5E47B9" w14:textId="1102CC51" w:rsidR="001756B4" w:rsidRPr="00776416" w:rsidRDefault="001756B4" w:rsidP="001756B4">
            <w:pPr>
              <w:spacing w:after="0"/>
              <w:jc w:val="center"/>
              <w:rPr>
                <w:rFonts w:cs="Arial"/>
              </w:rPr>
            </w:pPr>
          </w:p>
        </w:tc>
        <w:tc>
          <w:tcPr>
            <w:tcW w:w="4045" w:type="dxa"/>
            <w:vAlign w:val="center"/>
          </w:tcPr>
          <w:p w14:paraId="6AF27054" w14:textId="70ED9703" w:rsidR="001756B4" w:rsidRPr="00776416" w:rsidRDefault="0028103A" w:rsidP="001756B4">
            <w:pPr>
              <w:spacing w:after="0"/>
            </w:pPr>
            <w:r>
              <w:t>The Bank of America faces threats of new entry since there a</w:t>
            </w:r>
            <w:r w:rsidR="00070642">
              <w:t xml:space="preserve">lready </w:t>
            </w:r>
            <w:r>
              <w:t xml:space="preserve">exists </w:t>
            </w:r>
            <w:r w:rsidR="00070642">
              <w:t>developed Russian banks</w:t>
            </w:r>
            <w:r>
              <w:t xml:space="preserve">, for example </w:t>
            </w:r>
            <w:r w:rsidRPr="0028103A">
              <w:t>Sberbank, VTB Bank, Alfa Bank, Gazprombank (GPB), PromSvyaz Bank, Otkritie Financial Corporation Bank, and Russian Agricultural Bank</w:t>
            </w:r>
          </w:p>
        </w:tc>
      </w:tr>
      <w:tr w:rsidR="001756B4" w:rsidRPr="00776416" w14:paraId="18444754"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3FA30D90" w14:textId="071650EE" w:rsidR="001756B4" w:rsidRPr="00776416" w:rsidRDefault="001756B4" w:rsidP="001756B4">
            <w:pPr>
              <w:spacing w:after="0"/>
              <w:rPr>
                <w:rFonts w:cs="Arial"/>
              </w:rPr>
            </w:pPr>
            <w:r>
              <w:rPr>
                <w:rStyle w:val="normaltextrun"/>
                <w:rFonts w:cs="Arial"/>
                <w:szCs w:val="20"/>
              </w:rPr>
              <w:t>Power of buyers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3860A427" w14:textId="36AD8BEA" w:rsidR="001756B4" w:rsidRPr="00776416" w:rsidRDefault="003B49CF" w:rsidP="001756B4">
            <w:pPr>
              <w:spacing w:after="0"/>
              <w:jc w:val="center"/>
              <w:rPr>
                <w:rFonts w:cs="Arial"/>
              </w:rPr>
            </w:pPr>
            <w:r>
              <w:rPr>
                <w:rFonts w:cs="Arial"/>
              </w:rPr>
              <w:t>x</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6D4C2D25" w14:textId="6953368D" w:rsidR="001756B4" w:rsidRPr="00776416" w:rsidRDefault="001756B4" w:rsidP="001756B4">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6CCA7F" w14:textId="2637686B" w:rsidR="001756B4" w:rsidRPr="00776416" w:rsidRDefault="001756B4" w:rsidP="001756B4">
            <w:pPr>
              <w:spacing w:after="0"/>
              <w:jc w:val="center"/>
              <w:rPr>
                <w:rFonts w:cs="Arial"/>
              </w:rPr>
            </w:pPr>
          </w:p>
        </w:tc>
        <w:tc>
          <w:tcPr>
            <w:tcW w:w="4045" w:type="dxa"/>
            <w:tcBorders>
              <w:left w:val="single" w:sz="4" w:space="0" w:color="auto"/>
            </w:tcBorders>
            <w:vAlign w:val="center"/>
          </w:tcPr>
          <w:p w14:paraId="4EA12CE6" w14:textId="2DFBF72B" w:rsidR="003B49CF" w:rsidRPr="00776416" w:rsidRDefault="003B49CF" w:rsidP="001756B4">
            <w:pPr>
              <w:spacing w:after="0"/>
            </w:pPr>
            <w:r>
              <w:t xml:space="preserve">The power of buyers is high since citizens of Russia are able to compare the benefits, and interests offered by the banks compared to the Bank of America to determine whether they will shift loyalties. </w:t>
            </w:r>
          </w:p>
        </w:tc>
      </w:tr>
      <w:tr w:rsidR="001756B4" w:rsidRPr="00776416" w14:paraId="5D88E8FD"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44BBF78A" w14:textId="73D6473E" w:rsidR="001756B4" w:rsidRPr="00776416" w:rsidRDefault="001756B4" w:rsidP="001756B4">
            <w:pPr>
              <w:spacing w:after="0"/>
              <w:rPr>
                <w:rFonts w:cs="Arial"/>
              </w:rPr>
            </w:pPr>
            <w:r>
              <w:rPr>
                <w:rStyle w:val="normaltextrun"/>
                <w:rFonts w:cs="Arial"/>
                <w:szCs w:val="20"/>
              </w:rPr>
              <w:t>Power of suppliers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2E52C242" w14:textId="77777777" w:rsidR="001756B4" w:rsidRPr="00776416" w:rsidRDefault="001756B4" w:rsidP="001756B4">
            <w:pPr>
              <w:spacing w:after="0"/>
              <w:jc w:val="center"/>
              <w:rPr>
                <w:rFonts w:cs="Arial"/>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7A144B5C" w14:textId="6E863957" w:rsidR="001756B4" w:rsidRPr="00776416" w:rsidRDefault="001756B4" w:rsidP="001756B4">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79C0DA4" w14:textId="75F558F1" w:rsidR="001756B4" w:rsidRPr="00776416" w:rsidRDefault="003174B8" w:rsidP="001756B4">
            <w:pPr>
              <w:spacing w:after="0"/>
              <w:jc w:val="center"/>
              <w:rPr>
                <w:rFonts w:cs="Arial"/>
              </w:rPr>
            </w:pPr>
            <w:r>
              <w:rPr>
                <w:rFonts w:cs="Arial"/>
              </w:rPr>
              <w:t>X</w:t>
            </w:r>
          </w:p>
        </w:tc>
        <w:tc>
          <w:tcPr>
            <w:tcW w:w="4045" w:type="dxa"/>
            <w:tcBorders>
              <w:left w:val="single" w:sz="4" w:space="0" w:color="auto"/>
            </w:tcBorders>
            <w:vAlign w:val="center"/>
          </w:tcPr>
          <w:p w14:paraId="38C44B48" w14:textId="492446BD" w:rsidR="00886C9E" w:rsidRPr="00776416" w:rsidRDefault="00886C9E" w:rsidP="001756B4">
            <w:pPr>
              <w:spacing w:after="0"/>
            </w:pPr>
            <w:r>
              <w:t>The power of suppliers is low since most customers are educated enough, and are price sensitive regarding the services that will be offered by the bank of America, and since the buyer represents a</w:t>
            </w:r>
            <w:r w:rsidR="00224A52">
              <w:t xml:space="preserve"> </w:t>
            </w:r>
            <w:r>
              <w:t xml:space="preserve">major population of the Russian community, the bank’s power becomes low. </w:t>
            </w:r>
          </w:p>
        </w:tc>
      </w:tr>
      <w:tr w:rsidR="001756B4" w:rsidRPr="00776416" w14:paraId="1024E62B"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7BA07D9B" w14:textId="57C8A071" w:rsidR="001756B4" w:rsidRPr="00776416" w:rsidRDefault="001756B4" w:rsidP="001756B4">
            <w:pPr>
              <w:spacing w:after="0"/>
              <w:rPr>
                <w:rFonts w:cs="Arial"/>
              </w:rPr>
            </w:pPr>
            <w:r>
              <w:rPr>
                <w:rStyle w:val="normaltextrun"/>
                <w:rFonts w:cs="Arial"/>
                <w:szCs w:val="20"/>
              </w:rPr>
              <w:t>Power of substitutes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03C6173F" w14:textId="0519F667" w:rsidR="001756B4" w:rsidRPr="00776416" w:rsidRDefault="001756B4" w:rsidP="001756B4">
            <w:pPr>
              <w:spacing w:after="0"/>
              <w:jc w:val="center"/>
              <w:rPr>
                <w:rFonts w:cs="Arial"/>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56FFAC0D" w14:textId="37F316FF" w:rsidR="001756B4" w:rsidRPr="00776416" w:rsidRDefault="001756B4" w:rsidP="001756B4">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9785B98" w14:textId="1E3BD550" w:rsidR="001756B4" w:rsidRPr="00776416" w:rsidRDefault="003174B8" w:rsidP="001756B4">
            <w:pPr>
              <w:spacing w:after="0"/>
              <w:jc w:val="center"/>
              <w:rPr>
                <w:rFonts w:cs="Arial"/>
              </w:rPr>
            </w:pPr>
            <w:r>
              <w:rPr>
                <w:rFonts w:cs="Arial"/>
              </w:rPr>
              <w:t>X</w:t>
            </w:r>
          </w:p>
        </w:tc>
        <w:tc>
          <w:tcPr>
            <w:tcW w:w="4045" w:type="dxa"/>
            <w:tcBorders>
              <w:left w:val="single" w:sz="4" w:space="0" w:color="auto"/>
            </w:tcBorders>
            <w:vAlign w:val="center"/>
          </w:tcPr>
          <w:p w14:paraId="095EAD24" w14:textId="2D7BE557" w:rsidR="001756B4" w:rsidRPr="00776416" w:rsidRDefault="00224A52" w:rsidP="001756B4">
            <w:pPr>
              <w:spacing w:after="0"/>
            </w:pPr>
            <w:r>
              <w:t>The power of substitutes of the bank of America is low since there e</w:t>
            </w:r>
            <w:r w:rsidR="00AF5590">
              <w:t>x</w:t>
            </w:r>
            <w:r>
              <w:t xml:space="preserve">ists many Russian banks that are willing to offer the same services as them at a reasonable interest. </w:t>
            </w:r>
          </w:p>
        </w:tc>
      </w:tr>
      <w:tr w:rsidR="001756B4" w:rsidRPr="00776416" w14:paraId="59C1EEE7"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1F068D94" w14:textId="3F74CDAD" w:rsidR="001756B4" w:rsidRPr="00776416" w:rsidRDefault="001756B4" w:rsidP="001756B4">
            <w:pPr>
              <w:spacing w:after="0"/>
              <w:rPr>
                <w:rFonts w:cs="Arial"/>
              </w:rPr>
            </w:pPr>
            <w:r>
              <w:rPr>
                <w:rStyle w:val="normaltextrun"/>
                <w:rFonts w:cs="Arial"/>
                <w:szCs w:val="20"/>
              </w:rPr>
              <w:t>Rivalry among competitors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1A3A61E0" w14:textId="4AFEE6B5" w:rsidR="001756B4" w:rsidRPr="00776416" w:rsidRDefault="00070642" w:rsidP="001756B4">
            <w:pPr>
              <w:spacing w:after="0"/>
              <w:jc w:val="center"/>
              <w:rPr>
                <w:rFonts w:cs="Arial"/>
              </w:rPr>
            </w:pPr>
            <w:r>
              <w:rPr>
                <w:rFonts w:cs="Arial"/>
              </w:rPr>
              <w:t>x</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597237D6" w14:textId="617680DC" w:rsidR="001756B4" w:rsidRPr="00776416" w:rsidRDefault="001756B4" w:rsidP="001756B4">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D4FB1D" w14:textId="77777777" w:rsidR="001756B4" w:rsidRPr="00776416" w:rsidRDefault="001756B4" w:rsidP="001756B4">
            <w:pPr>
              <w:spacing w:after="0"/>
              <w:jc w:val="center"/>
              <w:rPr>
                <w:rFonts w:cs="Arial"/>
              </w:rPr>
            </w:pPr>
          </w:p>
        </w:tc>
        <w:tc>
          <w:tcPr>
            <w:tcW w:w="4045" w:type="dxa"/>
            <w:tcBorders>
              <w:left w:val="single" w:sz="4" w:space="0" w:color="auto"/>
            </w:tcBorders>
            <w:vAlign w:val="center"/>
          </w:tcPr>
          <w:p w14:paraId="3EB2505E" w14:textId="6A013B63" w:rsidR="001756B4" w:rsidRPr="00776416" w:rsidRDefault="001245A4" w:rsidP="001756B4">
            <w:pPr>
              <w:spacing w:after="0"/>
            </w:pPr>
            <w:r>
              <w:t xml:space="preserve">The rivalry between the bank of America and other Russian banks is high since both are developed and come from highly developed economies having attractive incentives to offer to their customers. </w:t>
            </w:r>
          </w:p>
        </w:tc>
      </w:tr>
      <w:tr w:rsidR="001756B4" w:rsidRPr="00776416" w14:paraId="0FC82EFA"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1C1C9174" w14:textId="77E22CD6" w:rsidR="001756B4" w:rsidRPr="00776416" w:rsidRDefault="001756B4" w:rsidP="001756B4">
            <w:pPr>
              <w:spacing w:after="0"/>
              <w:rPr>
                <w:rFonts w:cs="Arial"/>
              </w:rPr>
            </w:pPr>
            <w:r>
              <w:rPr>
                <w:rStyle w:val="normaltextrun"/>
                <w:rFonts w:cs="Arial"/>
                <w:szCs w:val="20"/>
              </w:rPr>
              <w:t>Complementors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689BA478" w14:textId="07DA9DD0" w:rsidR="001756B4" w:rsidRPr="00776416" w:rsidRDefault="001756B4" w:rsidP="001756B4">
            <w:pPr>
              <w:spacing w:after="0"/>
              <w:jc w:val="center"/>
              <w:rPr>
                <w:rFonts w:cs="Arial"/>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F04C4F1" w14:textId="4CC97BB5" w:rsidR="001756B4" w:rsidRPr="00776416" w:rsidRDefault="001756B4" w:rsidP="001756B4">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5041510" w14:textId="0C14CD43" w:rsidR="001756B4" w:rsidRPr="00776416" w:rsidRDefault="003174B8" w:rsidP="001756B4">
            <w:pPr>
              <w:spacing w:after="0"/>
              <w:jc w:val="center"/>
              <w:rPr>
                <w:rFonts w:cs="Arial"/>
              </w:rPr>
            </w:pPr>
            <w:r>
              <w:rPr>
                <w:rFonts w:cs="Arial"/>
              </w:rPr>
              <w:t>X</w:t>
            </w:r>
          </w:p>
        </w:tc>
        <w:tc>
          <w:tcPr>
            <w:tcW w:w="4045" w:type="dxa"/>
            <w:tcBorders>
              <w:left w:val="single" w:sz="4" w:space="0" w:color="auto"/>
            </w:tcBorders>
            <w:vAlign w:val="center"/>
          </w:tcPr>
          <w:p w14:paraId="48A8D38A" w14:textId="7BFBFD0B" w:rsidR="001756B4" w:rsidRPr="00776416" w:rsidRDefault="003174B8" w:rsidP="001756B4">
            <w:pPr>
              <w:spacing w:after="0"/>
            </w:pPr>
            <w:r>
              <w:t xml:space="preserve">The complementors of the Bank of America is low since </w:t>
            </w:r>
            <w:r w:rsidR="00070642">
              <w:t>Most Russian banks can have a dir</w:t>
            </w:r>
            <w:r w:rsidR="002E395E">
              <w:t>s</w:t>
            </w:r>
            <w:r w:rsidR="00070642">
              <w:t>ect connection to the locals</w:t>
            </w:r>
            <w:r>
              <w:t xml:space="preserve"> since they are not affected by language and cultural differences. </w:t>
            </w:r>
          </w:p>
        </w:tc>
      </w:tr>
      <w:tr w:rsidR="0055060A" w:rsidRPr="00776416" w14:paraId="4CFC993E" w14:textId="77777777" w:rsidTr="6E36BA7D">
        <w:trPr>
          <w:trHeight w:val="1461"/>
        </w:trPr>
        <w:tc>
          <w:tcPr>
            <w:tcW w:w="9350" w:type="dxa"/>
            <w:gridSpan w:val="5"/>
            <w:tcBorders>
              <w:top w:val="single" w:sz="4" w:space="0" w:color="auto"/>
              <w:left w:val="single" w:sz="4" w:space="0" w:color="auto"/>
              <w:bottom w:val="single" w:sz="4" w:space="0" w:color="auto"/>
            </w:tcBorders>
            <w:shd w:val="clear" w:color="auto" w:fill="auto"/>
          </w:tcPr>
          <w:p w14:paraId="4E383C6F" w14:textId="77777777" w:rsidR="0055060A" w:rsidRDefault="0055060A" w:rsidP="001756B4">
            <w:pPr>
              <w:spacing w:after="0"/>
              <w:rPr>
                <w:rStyle w:val="normaltextrun"/>
                <w:rFonts w:cs="Arial"/>
                <w:szCs w:val="20"/>
              </w:rPr>
            </w:pPr>
            <w:r>
              <w:rPr>
                <w:rStyle w:val="normaltextrun"/>
                <w:rFonts w:cs="Arial"/>
                <w:szCs w:val="20"/>
              </w:rPr>
              <w:lastRenderedPageBreak/>
              <w:t>References:</w:t>
            </w:r>
          </w:p>
          <w:p w14:paraId="6C24707F" w14:textId="3541EA8D" w:rsidR="00227873" w:rsidRPr="00776416" w:rsidRDefault="00227873" w:rsidP="001756B4">
            <w:pPr>
              <w:spacing w:after="0"/>
            </w:pPr>
            <w:r>
              <w:rPr>
                <w:rFonts w:cs="Arial"/>
                <w:color w:val="222222"/>
                <w:szCs w:val="20"/>
                <w:shd w:val="clear" w:color="auto" w:fill="FFFFFF"/>
              </w:rPr>
              <w:t>Afolabi, I. T., Ezenwoke, A. A., &amp; Ayo, C. K. (2017). Competitive analysis of social media data in the banking industry. </w:t>
            </w:r>
            <w:r>
              <w:rPr>
                <w:rFonts w:cs="Arial"/>
                <w:i/>
                <w:iCs/>
                <w:color w:val="222222"/>
                <w:szCs w:val="20"/>
                <w:shd w:val="clear" w:color="auto" w:fill="FFFFFF"/>
              </w:rPr>
              <w:t>International Journal of Internet Marketing and Advertising</w:t>
            </w:r>
            <w:r>
              <w:rPr>
                <w:rFonts w:cs="Arial"/>
                <w:color w:val="222222"/>
                <w:szCs w:val="20"/>
                <w:shd w:val="clear" w:color="auto" w:fill="FFFFFF"/>
              </w:rPr>
              <w:t>, </w:t>
            </w:r>
            <w:r>
              <w:rPr>
                <w:rFonts w:cs="Arial"/>
                <w:i/>
                <w:iCs/>
                <w:color w:val="222222"/>
                <w:szCs w:val="20"/>
                <w:shd w:val="clear" w:color="auto" w:fill="FFFFFF"/>
              </w:rPr>
              <w:t>11</w:t>
            </w:r>
            <w:r>
              <w:rPr>
                <w:rFonts w:cs="Arial"/>
                <w:color w:val="222222"/>
                <w:szCs w:val="20"/>
                <w:shd w:val="clear" w:color="auto" w:fill="FFFFFF"/>
              </w:rPr>
              <w:t>(3), 183-201.</w:t>
            </w:r>
          </w:p>
        </w:tc>
      </w:tr>
    </w:tbl>
    <w:p w14:paraId="0D6D8EC4" w14:textId="19303062" w:rsidR="0098520B" w:rsidRDefault="0098520B" w:rsidP="001756B4"/>
    <w:p w14:paraId="4FC0F4D3" w14:textId="77777777" w:rsidR="00E07961" w:rsidRPr="00D2123C" w:rsidRDefault="00E07961" w:rsidP="001756B4"/>
    <w:sectPr w:rsidR="00E07961" w:rsidRPr="00D2123C" w:rsidSect="00B9595A">
      <w:headerReference w:type="default" r:id="rId12"/>
      <w:footerReference w:type="default" r:id="rId13"/>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B60AA" w14:textId="77777777" w:rsidR="008167CE" w:rsidRDefault="008167CE" w:rsidP="000F0903">
      <w:pPr>
        <w:spacing w:after="0"/>
      </w:pPr>
      <w:r>
        <w:separator/>
      </w:r>
    </w:p>
  </w:endnote>
  <w:endnote w:type="continuationSeparator" w:id="0">
    <w:p w14:paraId="030CD974" w14:textId="77777777" w:rsidR="008167CE" w:rsidRDefault="008167CE" w:rsidP="000F0903">
      <w:pPr>
        <w:spacing w:after="0"/>
      </w:pPr>
      <w:r>
        <w:continuationSeparator/>
      </w:r>
    </w:p>
  </w:endnote>
  <w:endnote w:type="continuationNotice" w:id="1">
    <w:p w14:paraId="3683C9AA" w14:textId="77777777" w:rsidR="008167CE" w:rsidRDefault="008167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0D2A" w14:textId="2A0CF4AA"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20</w:t>
    </w:r>
    <w:r w:rsidR="00E07961">
      <w:rPr>
        <w:sz w:val="16"/>
        <w:szCs w:val="16"/>
      </w:rPr>
      <w:t>20</w:t>
    </w:r>
    <w:r w:rsidRPr="184C010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90FAD" w14:textId="77777777" w:rsidR="008167CE" w:rsidRDefault="008167CE" w:rsidP="000F0903">
      <w:pPr>
        <w:spacing w:after="0"/>
      </w:pPr>
      <w:r>
        <w:separator/>
      </w:r>
    </w:p>
  </w:footnote>
  <w:footnote w:type="continuationSeparator" w:id="0">
    <w:p w14:paraId="42EE6E50" w14:textId="77777777" w:rsidR="008167CE" w:rsidRDefault="008167CE" w:rsidP="000F0903">
      <w:pPr>
        <w:spacing w:after="0"/>
      </w:pPr>
      <w:r>
        <w:continuationSeparator/>
      </w:r>
    </w:p>
  </w:footnote>
  <w:footnote w:type="continuationNotice" w:id="1">
    <w:p w14:paraId="4932ADCA" w14:textId="77777777" w:rsidR="008167CE" w:rsidRDefault="008167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E977" w14:textId="6AD435AF" w:rsidR="002901D9" w:rsidRDefault="00E07961" w:rsidP="00C12D77">
    <w:pPr>
      <w:spacing w:after="0"/>
      <w:ind w:left="4230"/>
      <w:jc w:val="right"/>
    </w:pPr>
    <w:r w:rsidRPr="00E07961">
      <w:t>Porter’s Five Forces</w:t>
    </w:r>
  </w:p>
  <w:p w14:paraId="76B54142" w14:textId="436E0235" w:rsidR="002901D9" w:rsidRDefault="00E07961" w:rsidP="00B3690F">
    <w:pPr>
      <w:spacing w:after="0"/>
      <w:ind w:left="6300"/>
      <w:jc w:val="right"/>
    </w:pPr>
    <w:r>
      <w:t>MGT</w:t>
    </w:r>
    <w:r w:rsidR="002901D9">
      <w:t>/</w:t>
    </w:r>
    <w:r>
      <w:t>576</w:t>
    </w:r>
    <w:r w:rsidR="002901D9">
      <w:t xml:space="preserve"> v</w:t>
    </w:r>
    <w:r>
      <w:t>1</w:t>
    </w:r>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3690F">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3690F">
      <w:rPr>
        <w:noProof/>
      </w:rPr>
      <w:t>2</w:t>
    </w:r>
    <w:r w:rsidRPr="184C0106">
      <w:rPr>
        <w:noProof/>
      </w:rPr>
      <w:fldChar w:fldCharType="end"/>
    </w:r>
  </w:p>
  <w:p w14:paraId="79C2BB41" w14:textId="62ED273B" w:rsidR="002901D9" w:rsidRPr="00B9595A" w:rsidRDefault="002901D9" w:rsidP="00B95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0614F8"/>
    <w:multiLevelType w:val="multilevel"/>
    <w:tmpl w:val="61544326"/>
    <w:lvl w:ilvl="0">
      <w:start w:val="1"/>
      <w:numFmt w:val="decimal"/>
      <w:pStyle w:val="OutlineLevel1"/>
      <w:lvlText w:val="%1."/>
      <w:lvlJc w:val="left"/>
      <w:pPr>
        <w:ind w:left="360" w:hanging="360"/>
      </w:p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9"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0"/>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0"/>
  </w:num>
  <w:num w:numId="10">
    <w:abstractNumId w:val="7"/>
  </w:num>
  <w:num w:numId="11">
    <w:abstractNumId w:val="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3"/>
  </w:num>
  <w:num w:numId="18">
    <w:abstractNumId w:val="9"/>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0FAO+o+cAtAAAA"/>
  </w:docVars>
  <w:rsids>
    <w:rsidRoot w:val="00B7574F"/>
    <w:rsid w:val="00050D2C"/>
    <w:rsid w:val="00070642"/>
    <w:rsid w:val="000C0803"/>
    <w:rsid w:val="000C2C6A"/>
    <w:rsid w:val="000D2169"/>
    <w:rsid w:val="000F0903"/>
    <w:rsid w:val="001245A4"/>
    <w:rsid w:val="0013181E"/>
    <w:rsid w:val="0014401A"/>
    <w:rsid w:val="001602BB"/>
    <w:rsid w:val="00174ED5"/>
    <w:rsid w:val="001756B4"/>
    <w:rsid w:val="001A2683"/>
    <w:rsid w:val="001C098D"/>
    <w:rsid w:val="001C10AF"/>
    <w:rsid w:val="001F0CC9"/>
    <w:rsid w:val="00201214"/>
    <w:rsid w:val="00207997"/>
    <w:rsid w:val="00216720"/>
    <w:rsid w:val="00224434"/>
    <w:rsid w:val="00224A52"/>
    <w:rsid w:val="00227873"/>
    <w:rsid w:val="00250EB0"/>
    <w:rsid w:val="00270C10"/>
    <w:rsid w:val="0028103A"/>
    <w:rsid w:val="002901D9"/>
    <w:rsid w:val="002A5C91"/>
    <w:rsid w:val="002D1CDF"/>
    <w:rsid w:val="002E395E"/>
    <w:rsid w:val="003174B8"/>
    <w:rsid w:val="003224B8"/>
    <w:rsid w:val="0033144D"/>
    <w:rsid w:val="00345ED0"/>
    <w:rsid w:val="00377506"/>
    <w:rsid w:val="003B49CF"/>
    <w:rsid w:val="003C5B32"/>
    <w:rsid w:val="00427F4C"/>
    <w:rsid w:val="004500DE"/>
    <w:rsid w:val="00467B22"/>
    <w:rsid w:val="004751F3"/>
    <w:rsid w:val="005002EC"/>
    <w:rsid w:val="00532293"/>
    <w:rsid w:val="00546A6C"/>
    <w:rsid w:val="0055060A"/>
    <w:rsid w:val="005702EF"/>
    <w:rsid w:val="005F5BC8"/>
    <w:rsid w:val="00654497"/>
    <w:rsid w:val="0066315B"/>
    <w:rsid w:val="00695175"/>
    <w:rsid w:val="007042E2"/>
    <w:rsid w:val="00726E5E"/>
    <w:rsid w:val="007371A4"/>
    <w:rsid w:val="00776416"/>
    <w:rsid w:val="00793EBF"/>
    <w:rsid w:val="007A0EAB"/>
    <w:rsid w:val="007A6D58"/>
    <w:rsid w:val="007B0FF4"/>
    <w:rsid w:val="008167CE"/>
    <w:rsid w:val="00886C9E"/>
    <w:rsid w:val="008C786A"/>
    <w:rsid w:val="00935086"/>
    <w:rsid w:val="00935F80"/>
    <w:rsid w:val="00965ECF"/>
    <w:rsid w:val="00971C52"/>
    <w:rsid w:val="0098520B"/>
    <w:rsid w:val="009B0A35"/>
    <w:rsid w:val="009C241D"/>
    <w:rsid w:val="009C48ED"/>
    <w:rsid w:val="009E0D9C"/>
    <w:rsid w:val="00A03896"/>
    <w:rsid w:val="00A14190"/>
    <w:rsid w:val="00A14B34"/>
    <w:rsid w:val="00A621B0"/>
    <w:rsid w:val="00AE4EA8"/>
    <w:rsid w:val="00AF5590"/>
    <w:rsid w:val="00B1207F"/>
    <w:rsid w:val="00B16250"/>
    <w:rsid w:val="00B3325E"/>
    <w:rsid w:val="00B3690F"/>
    <w:rsid w:val="00B7574F"/>
    <w:rsid w:val="00B9595A"/>
    <w:rsid w:val="00C032FD"/>
    <w:rsid w:val="00C12D77"/>
    <w:rsid w:val="00C610B2"/>
    <w:rsid w:val="00C66A39"/>
    <w:rsid w:val="00CC6145"/>
    <w:rsid w:val="00CE3635"/>
    <w:rsid w:val="00D037F8"/>
    <w:rsid w:val="00D10F9D"/>
    <w:rsid w:val="00D2123C"/>
    <w:rsid w:val="00DA2EA0"/>
    <w:rsid w:val="00DE1A94"/>
    <w:rsid w:val="00E0034E"/>
    <w:rsid w:val="00E07961"/>
    <w:rsid w:val="00E22D25"/>
    <w:rsid w:val="00E65CEA"/>
    <w:rsid w:val="00E73EF9"/>
    <w:rsid w:val="00E831C5"/>
    <w:rsid w:val="00EC0EB6"/>
    <w:rsid w:val="00ED01FB"/>
    <w:rsid w:val="00F7576F"/>
    <w:rsid w:val="00FE6379"/>
    <w:rsid w:val="00FF6339"/>
    <w:rsid w:val="17072597"/>
    <w:rsid w:val="184C0106"/>
    <w:rsid w:val="21C71742"/>
    <w:rsid w:val="230CB48E"/>
    <w:rsid w:val="26788116"/>
    <w:rsid w:val="3251E61D"/>
    <w:rsid w:val="33AB50BE"/>
    <w:rsid w:val="352CDC95"/>
    <w:rsid w:val="3A3594BE"/>
    <w:rsid w:val="3E2F307C"/>
    <w:rsid w:val="44E710C5"/>
    <w:rsid w:val="4C8B506E"/>
    <w:rsid w:val="53F93951"/>
    <w:rsid w:val="5B2BD6D7"/>
    <w:rsid w:val="64AE9A92"/>
    <w:rsid w:val="673CBF19"/>
    <w:rsid w:val="6E36BA7D"/>
    <w:rsid w:val="6F575A5F"/>
    <w:rsid w:val="73BAE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2"/>
      </w:numPr>
      <w:tabs>
        <w:tab w:val="num" w:pos="360"/>
      </w:tabs>
      <w:spacing w:before="60" w:after="60"/>
      <w:ind w:firstLine="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character" w:customStyle="1" w:styleId="normaltextrun">
    <w:name w:val="normaltextrun"/>
    <w:basedOn w:val="DefaultParagraphFont"/>
    <w:rsid w:val="001756B4"/>
  </w:style>
  <w:style w:type="character" w:customStyle="1" w:styleId="eop">
    <w:name w:val="eop"/>
    <w:basedOn w:val="DefaultParagraphFont"/>
    <w:rsid w:val="001756B4"/>
  </w:style>
  <w:style w:type="character" w:customStyle="1" w:styleId="advancedproofingissue">
    <w:name w:val="advancedproofingissue"/>
    <w:basedOn w:val="DefaultParagraphFont"/>
    <w:rsid w:val="001756B4"/>
  </w:style>
  <w:style w:type="paragraph" w:customStyle="1" w:styleId="paragraph">
    <w:name w:val="paragraph"/>
    <w:basedOn w:val="Normal"/>
    <w:rsid w:val="001756B4"/>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767">
      <w:bodyDiv w:val="1"/>
      <w:marLeft w:val="0"/>
      <w:marRight w:val="0"/>
      <w:marTop w:val="0"/>
      <w:marBottom w:val="0"/>
      <w:divBdr>
        <w:top w:val="none" w:sz="0" w:space="0" w:color="auto"/>
        <w:left w:val="none" w:sz="0" w:space="0" w:color="auto"/>
        <w:bottom w:val="none" w:sz="0" w:space="0" w:color="auto"/>
        <w:right w:val="none" w:sz="0" w:space="0" w:color="auto"/>
      </w:divBdr>
      <w:divsChild>
        <w:div w:id="2081636079">
          <w:marLeft w:val="0"/>
          <w:marRight w:val="0"/>
          <w:marTop w:val="0"/>
          <w:marBottom w:val="0"/>
          <w:divBdr>
            <w:top w:val="none" w:sz="0" w:space="0" w:color="auto"/>
            <w:left w:val="none" w:sz="0" w:space="0" w:color="auto"/>
            <w:bottom w:val="none" w:sz="0" w:space="0" w:color="auto"/>
            <w:right w:val="none" w:sz="0" w:space="0" w:color="auto"/>
          </w:divBdr>
          <w:divsChild>
            <w:div w:id="696854754">
              <w:marLeft w:val="0"/>
              <w:marRight w:val="0"/>
              <w:marTop w:val="0"/>
              <w:marBottom w:val="0"/>
              <w:divBdr>
                <w:top w:val="none" w:sz="0" w:space="0" w:color="auto"/>
                <w:left w:val="none" w:sz="0" w:space="0" w:color="auto"/>
                <w:bottom w:val="none" w:sz="0" w:space="0" w:color="auto"/>
                <w:right w:val="none" w:sz="0" w:space="0" w:color="auto"/>
              </w:divBdr>
            </w:div>
          </w:divsChild>
        </w:div>
        <w:div w:id="691103450">
          <w:marLeft w:val="0"/>
          <w:marRight w:val="0"/>
          <w:marTop w:val="0"/>
          <w:marBottom w:val="0"/>
          <w:divBdr>
            <w:top w:val="none" w:sz="0" w:space="0" w:color="auto"/>
            <w:left w:val="none" w:sz="0" w:space="0" w:color="auto"/>
            <w:bottom w:val="none" w:sz="0" w:space="0" w:color="auto"/>
            <w:right w:val="none" w:sz="0" w:space="0" w:color="auto"/>
          </w:divBdr>
          <w:divsChild>
            <w:div w:id="2118477425">
              <w:marLeft w:val="0"/>
              <w:marRight w:val="0"/>
              <w:marTop w:val="0"/>
              <w:marBottom w:val="0"/>
              <w:divBdr>
                <w:top w:val="none" w:sz="0" w:space="0" w:color="auto"/>
                <w:left w:val="none" w:sz="0" w:space="0" w:color="auto"/>
                <w:bottom w:val="none" w:sz="0" w:space="0" w:color="auto"/>
                <w:right w:val="none" w:sz="0" w:space="0" w:color="auto"/>
              </w:divBdr>
            </w:div>
          </w:divsChild>
        </w:div>
        <w:div w:id="1718893756">
          <w:marLeft w:val="0"/>
          <w:marRight w:val="0"/>
          <w:marTop w:val="0"/>
          <w:marBottom w:val="0"/>
          <w:divBdr>
            <w:top w:val="none" w:sz="0" w:space="0" w:color="auto"/>
            <w:left w:val="none" w:sz="0" w:space="0" w:color="auto"/>
            <w:bottom w:val="none" w:sz="0" w:space="0" w:color="auto"/>
            <w:right w:val="none" w:sz="0" w:space="0" w:color="auto"/>
          </w:divBdr>
          <w:divsChild>
            <w:div w:id="1869292722">
              <w:marLeft w:val="0"/>
              <w:marRight w:val="0"/>
              <w:marTop w:val="0"/>
              <w:marBottom w:val="0"/>
              <w:divBdr>
                <w:top w:val="none" w:sz="0" w:space="0" w:color="auto"/>
                <w:left w:val="none" w:sz="0" w:space="0" w:color="auto"/>
                <w:bottom w:val="none" w:sz="0" w:space="0" w:color="auto"/>
                <w:right w:val="none" w:sz="0" w:space="0" w:color="auto"/>
              </w:divBdr>
            </w:div>
          </w:divsChild>
        </w:div>
        <w:div w:id="548995522">
          <w:marLeft w:val="0"/>
          <w:marRight w:val="0"/>
          <w:marTop w:val="0"/>
          <w:marBottom w:val="0"/>
          <w:divBdr>
            <w:top w:val="none" w:sz="0" w:space="0" w:color="auto"/>
            <w:left w:val="none" w:sz="0" w:space="0" w:color="auto"/>
            <w:bottom w:val="none" w:sz="0" w:space="0" w:color="auto"/>
            <w:right w:val="none" w:sz="0" w:space="0" w:color="auto"/>
          </w:divBdr>
          <w:divsChild>
            <w:div w:id="403572747">
              <w:marLeft w:val="0"/>
              <w:marRight w:val="0"/>
              <w:marTop w:val="0"/>
              <w:marBottom w:val="0"/>
              <w:divBdr>
                <w:top w:val="none" w:sz="0" w:space="0" w:color="auto"/>
                <w:left w:val="none" w:sz="0" w:space="0" w:color="auto"/>
                <w:bottom w:val="none" w:sz="0" w:space="0" w:color="auto"/>
                <w:right w:val="none" w:sz="0" w:space="0" w:color="auto"/>
              </w:divBdr>
            </w:div>
          </w:divsChild>
        </w:div>
        <w:div w:id="235821196">
          <w:marLeft w:val="0"/>
          <w:marRight w:val="0"/>
          <w:marTop w:val="0"/>
          <w:marBottom w:val="0"/>
          <w:divBdr>
            <w:top w:val="none" w:sz="0" w:space="0" w:color="auto"/>
            <w:left w:val="none" w:sz="0" w:space="0" w:color="auto"/>
            <w:bottom w:val="none" w:sz="0" w:space="0" w:color="auto"/>
            <w:right w:val="none" w:sz="0" w:space="0" w:color="auto"/>
          </w:divBdr>
          <w:divsChild>
            <w:div w:id="1745839508">
              <w:marLeft w:val="0"/>
              <w:marRight w:val="0"/>
              <w:marTop w:val="0"/>
              <w:marBottom w:val="0"/>
              <w:divBdr>
                <w:top w:val="none" w:sz="0" w:space="0" w:color="auto"/>
                <w:left w:val="none" w:sz="0" w:space="0" w:color="auto"/>
                <w:bottom w:val="none" w:sz="0" w:space="0" w:color="auto"/>
                <w:right w:val="none" w:sz="0" w:space="0" w:color="auto"/>
              </w:divBdr>
            </w:div>
          </w:divsChild>
        </w:div>
        <w:div w:id="414789265">
          <w:marLeft w:val="0"/>
          <w:marRight w:val="0"/>
          <w:marTop w:val="0"/>
          <w:marBottom w:val="0"/>
          <w:divBdr>
            <w:top w:val="none" w:sz="0" w:space="0" w:color="auto"/>
            <w:left w:val="none" w:sz="0" w:space="0" w:color="auto"/>
            <w:bottom w:val="none" w:sz="0" w:space="0" w:color="auto"/>
            <w:right w:val="none" w:sz="0" w:space="0" w:color="auto"/>
          </w:divBdr>
          <w:divsChild>
            <w:div w:id="453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2635">
      <w:bodyDiv w:val="1"/>
      <w:marLeft w:val="0"/>
      <w:marRight w:val="0"/>
      <w:marTop w:val="0"/>
      <w:marBottom w:val="0"/>
      <w:divBdr>
        <w:top w:val="none" w:sz="0" w:space="0" w:color="auto"/>
        <w:left w:val="none" w:sz="0" w:space="0" w:color="auto"/>
        <w:bottom w:val="none" w:sz="0" w:space="0" w:color="auto"/>
        <w:right w:val="none" w:sz="0" w:space="0" w:color="auto"/>
      </w:divBdr>
      <w:divsChild>
        <w:div w:id="466046908">
          <w:marLeft w:val="0"/>
          <w:marRight w:val="0"/>
          <w:marTop w:val="0"/>
          <w:marBottom w:val="0"/>
          <w:divBdr>
            <w:top w:val="none" w:sz="0" w:space="0" w:color="auto"/>
            <w:left w:val="none" w:sz="0" w:space="0" w:color="auto"/>
            <w:bottom w:val="none" w:sz="0" w:space="0" w:color="auto"/>
            <w:right w:val="none" w:sz="0" w:space="0" w:color="auto"/>
          </w:divBdr>
          <w:divsChild>
            <w:div w:id="310788388">
              <w:marLeft w:val="0"/>
              <w:marRight w:val="0"/>
              <w:marTop w:val="0"/>
              <w:marBottom w:val="0"/>
              <w:divBdr>
                <w:top w:val="none" w:sz="0" w:space="0" w:color="auto"/>
                <w:left w:val="none" w:sz="0" w:space="0" w:color="auto"/>
                <w:bottom w:val="none" w:sz="0" w:space="0" w:color="auto"/>
                <w:right w:val="none" w:sz="0" w:space="0" w:color="auto"/>
              </w:divBdr>
            </w:div>
          </w:divsChild>
        </w:div>
        <w:div w:id="1339424926">
          <w:marLeft w:val="0"/>
          <w:marRight w:val="0"/>
          <w:marTop w:val="0"/>
          <w:marBottom w:val="0"/>
          <w:divBdr>
            <w:top w:val="none" w:sz="0" w:space="0" w:color="auto"/>
            <w:left w:val="none" w:sz="0" w:space="0" w:color="auto"/>
            <w:bottom w:val="none" w:sz="0" w:space="0" w:color="auto"/>
            <w:right w:val="none" w:sz="0" w:space="0" w:color="auto"/>
          </w:divBdr>
          <w:divsChild>
            <w:div w:id="1970356114">
              <w:marLeft w:val="0"/>
              <w:marRight w:val="0"/>
              <w:marTop w:val="0"/>
              <w:marBottom w:val="0"/>
              <w:divBdr>
                <w:top w:val="none" w:sz="0" w:space="0" w:color="auto"/>
                <w:left w:val="none" w:sz="0" w:space="0" w:color="auto"/>
                <w:bottom w:val="none" w:sz="0" w:space="0" w:color="auto"/>
                <w:right w:val="none" w:sz="0" w:space="0" w:color="auto"/>
              </w:divBdr>
            </w:div>
          </w:divsChild>
        </w:div>
        <w:div w:id="158470521">
          <w:marLeft w:val="0"/>
          <w:marRight w:val="0"/>
          <w:marTop w:val="0"/>
          <w:marBottom w:val="0"/>
          <w:divBdr>
            <w:top w:val="none" w:sz="0" w:space="0" w:color="auto"/>
            <w:left w:val="none" w:sz="0" w:space="0" w:color="auto"/>
            <w:bottom w:val="none" w:sz="0" w:space="0" w:color="auto"/>
            <w:right w:val="none" w:sz="0" w:space="0" w:color="auto"/>
          </w:divBdr>
          <w:divsChild>
            <w:div w:id="667026793">
              <w:marLeft w:val="0"/>
              <w:marRight w:val="0"/>
              <w:marTop w:val="0"/>
              <w:marBottom w:val="0"/>
              <w:divBdr>
                <w:top w:val="none" w:sz="0" w:space="0" w:color="auto"/>
                <w:left w:val="none" w:sz="0" w:space="0" w:color="auto"/>
                <w:bottom w:val="none" w:sz="0" w:space="0" w:color="auto"/>
                <w:right w:val="none" w:sz="0" w:space="0" w:color="auto"/>
              </w:divBdr>
            </w:div>
          </w:divsChild>
        </w:div>
        <w:div w:id="1116490105">
          <w:marLeft w:val="0"/>
          <w:marRight w:val="0"/>
          <w:marTop w:val="0"/>
          <w:marBottom w:val="0"/>
          <w:divBdr>
            <w:top w:val="none" w:sz="0" w:space="0" w:color="auto"/>
            <w:left w:val="none" w:sz="0" w:space="0" w:color="auto"/>
            <w:bottom w:val="none" w:sz="0" w:space="0" w:color="auto"/>
            <w:right w:val="none" w:sz="0" w:space="0" w:color="auto"/>
          </w:divBdr>
          <w:divsChild>
            <w:div w:id="1263950783">
              <w:marLeft w:val="0"/>
              <w:marRight w:val="0"/>
              <w:marTop w:val="0"/>
              <w:marBottom w:val="0"/>
              <w:divBdr>
                <w:top w:val="none" w:sz="0" w:space="0" w:color="auto"/>
                <w:left w:val="none" w:sz="0" w:space="0" w:color="auto"/>
                <w:bottom w:val="none" w:sz="0" w:space="0" w:color="auto"/>
                <w:right w:val="none" w:sz="0" w:space="0" w:color="auto"/>
              </w:divBdr>
            </w:div>
          </w:divsChild>
        </w:div>
        <w:div w:id="1322809153">
          <w:marLeft w:val="0"/>
          <w:marRight w:val="0"/>
          <w:marTop w:val="0"/>
          <w:marBottom w:val="0"/>
          <w:divBdr>
            <w:top w:val="none" w:sz="0" w:space="0" w:color="auto"/>
            <w:left w:val="none" w:sz="0" w:space="0" w:color="auto"/>
            <w:bottom w:val="none" w:sz="0" w:space="0" w:color="auto"/>
            <w:right w:val="none" w:sz="0" w:space="0" w:color="auto"/>
          </w:divBdr>
          <w:divsChild>
            <w:div w:id="1463770180">
              <w:marLeft w:val="0"/>
              <w:marRight w:val="0"/>
              <w:marTop w:val="0"/>
              <w:marBottom w:val="0"/>
              <w:divBdr>
                <w:top w:val="none" w:sz="0" w:space="0" w:color="auto"/>
                <w:left w:val="none" w:sz="0" w:space="0" w:color="auto"/>
                <w:bottom w:val="none" w:sz="0" w:space="0" w:color="auto"/>
                <w:right w:val="none" w:sz="0" w:space="0" w:color="auto"/>
              </w:divBdr>
            </w:div>
          </w:divsChild>
        </w:div>
        <w:div w:id="858857445">
          <w:marLeft w:val="0"/>
          <w:marRight w:val="0"/>
          <w:marTop w:val="0"/>
          <w:marBottom w:val="0"/>
          <w:divBdr>
            <w:top w:val="none" w:sz="0" w:space="0" w:color="auto"/>
            <w:left w:val="none" w:sz="0" w:space="0" w:color="auto"/>
            <w:bottom w:val="none" w:sz="0" w:space="0" w:color="auto"/>
            <w:right w:val="none" w:sz="0" w:space="0" w:color="auto"/>
          </w:divBdr>
          <w:divsChild>
            <w:div w:id="871649984">
              <w:marLeft w:val="0"/>
              <w:marRight w:val="0"/>
              <w:marTop w:val="0"/>
              <w:marBottom w:val="0"/>
              <w:divBdr>
                <w:top w:val="none" w:sz="0" w:space="0" w:color="auto"/>
                <w:left w:val="none" w:sz="0" w:space="0" w:color="auto"/>
                <w:bottom w:val="none" w:sz="0" w:space="0" w:color="auto"/>
                <w:right w:val="none" w:sz="0" w:space="0" w:color="auto"/>
              </w:divBdr>
            </w:div>
          </w:divsChild>
        </w:div>
        <w:div w:id="96366940">
          <w:marLeft w:val="0"/>
          <w:marRight w:val="0"/>
          <w:marTop w:val="0"/>
          <w:marBottom w:val="0"/>
          <w:divBdr>
            <w:top w:val="none" w:sz="0" w:space="0" w:color="auto"/>
            <w:left w:val="none" w:sz="0" w:space="0" w:color="auto"/>
            <w:bottom w:val="none" w:sz="0" w:space="0" w:color="auto"/>
            <w:right w:val="none" w:sz="0" w:space="0" w:color="auto"/>
          </w:divBdr>
          <w:divsChild>
            <w:div w:id="849412610">
              <w:marLeft w:val="0"/>
              <w:marRight w:val="0"/>
              <w:marTop w:val="0"/>
              <w:marBottom w:val="0"/>
              <w:divBdr>
                <w:top w:val="none" w:sz="0" w:space="0" w:color="auto"/>
                <w:left w:val="none" w:sz="0" w:space="0" w:color="auto"/>
                <w:bottom w:val="none" w:sz="0" w:space="0" w:color="auto"/>
                <w:right w:val="none" w:sz="0" w:space="0" w:color="auto"/>
              </w:divBdr>
            </w:div>
          </w:divsChild>
        </w:div>
        <w:div w:id="1402018607">
          <w:marLeft w:val="0"/>
          <w:marRight w:val="0"/>
          <w:marTop w:val="0"/>
          <w:marBottom w:val="0"/>
          <w:divBdr>
            <w:top w:val="none" w:sz="0" w:space="0" w:color="auto"/>
            <w:left w:val="none" w:sz="0" w:space="0" w:color="auto"/>
            <w:bottom w:val="none" w:sz="0" w:space="0" w:color="auto"/>
            <w:right w:val="none" w:sz="0" w:space="0" w:color="auto"/>
          </w:divBdr>
          <w:divsChild>
            <w:div w:id="1768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3780">
      <w:bodyDiv w:val="1"/>
      <w:marLeft w:val="0"/>
      <w:marRight w:val="0"/>
      <w:marTop w:val="0"/>
      <w:marBottom w:val="0"/>
      <w:divBdr>
        <w:top w:val="none" w:sz="0" w:space="0" w:color="auto"/>
        <w:left w:val="none" w:sz="0" w:space="0" w:color="auto"/>
        <w:bottom w:val="none" w:sz="0" w:space="0" w:color="auto"/>
        <w:right w:val="none" w:sz="0" w:space="0" w:color="auto"/>
      </w:divBdr>
      <w:divsChild>
        <w:div w:id="1860007479">
          <w:marLeft w:val="0"/>
          <w:marRight w:val="0"/>
          <w:marTop w:val="0"/>
          <w:marBottom w:val="0"/>
          <w:divBdr>
            <w:top w:val="none" w:sz="0" w:space="0" w:color="auto"/>
            <w:left w:val="none" w:sz="0" w:space="0" w:color="auto"/>
            <w:bottom w:val="none" w:sz="0" w:space="0" w:color="auto"/>
            <w:right w:val="none" w:sz="0" w:space="0" w:color="auto"/>
          </w:divBdr>
        </w:div>
        <w:div w:id="1043481811">
          <w:marLeft w:val="0"/>
          <w:marRight w:val="0"/>
          <w:marTop w:val="0"/>
          <w:marBottom w:val="0"/>
          <w:divBdr>
            <w:top w:val="none" w:sz="0" w:space="0" w:color="auto"/>
            <w:left w:val="none" w:sz="0" w:space="0" w:color="auto"/>
            <w:bottom w:val="none" w:sz="0" w:space="0" w:color="auto"/>
            <w:right w:val="none" w:sz="0" w:space="0" w:color="auto"/>
          </w:divBdr>
        </w:div>
        <w:div w:id="21272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Comments xmlns="c3da832f-3ecf-443d-91e7-99457f1877f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0C9A95-9952-4B57-8503-CCC3476A8EB2}">
  <ds:schemaRefs>
    <ds:schemaRef ds:uri="http://schemas.microsoft.com/sharepoint/v3/contenttype/forms"/>
  </ds:schemaRefs>
</ds:datastoreItem>
</file>

<file path=customXml/itemProps3.xml><?xml version="1.0" encoding="utf-8"?>
<ds:datastoreItem xmlns:ds="http://schemas.openxmlformats.org/officeDocument/2006/customXml" ds:itemID="{0196B771-52BE-4001-B72C-7C61E8772417}">
  <ds:schemaRefs>
    <ds:schemaRef ds:uri="http://schemas.openxmlformats.org/officeDocument/2006/bibliography"/>
  </ds:schemaRefs>
</ds:datastoreItem>
</file>

<file path=customXml/itemProps4.xml><?xml version="1.0" encoding="utf-8"?>
<ds:datastoreItem xmlns:ds="http://schemas.openxmlformats.org/officeDocument/2006/customXml" ds:itemID="{E572F8FB-3595-4214-B344-E29E13427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B06B41-4586-49E0-BB3F-6E25FE3CCAC1}">
  <ds:schemaRefs>
    <ds:schemaRef ds:uri="http://schemas.microsoft.com/office/2006/metadata/properties"/>
    <ds:schemaRef ds:uri="http://schemas.microsoft.com/office/infopath/2007/PartnerControls"/>
    <ds:schemaRef ds:uri="c3da832f-3ecf-443d-91e7-99457f1877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2021-04-01T05:32:00Z</dcterms:created>
  <dcterms:modified xsi:type="dcterms:W3CDTF">2021-04-06T07:55:00Z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